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523dba0145fb31cab693f97def0e6b6d5f942b"/>
    <w:p>
      <w:pPr>
        <w:pStyle w:val="Heading3"/>
      </w:pPr>
      <w:r>
        <w:t xml:space="preserve">Десять многоквартирных домов по программе реновации оформлены Росреестром в июне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rPr>
          <w:u w:val="single"/>
        </w:rPr>
        <w:t xml:space="preserve">В июне 2025 года</w:t>
      </w:r>
      <w:r>
        <w:t xml:space="preserve"> </w:t>
      </w:r>
      <w:r>
        <w:t xml:space="preserve">Управлением Росреестра по Москве поставлено на кадастровый учет</w:t>
      </w:r>
      <w:r>
        <w:t xml:space="preserve"> </w:t>
      </w:r>
      <w:r>
        <w:rPr>
          <w:bCs/>
          <w:b/>
        </w:rPr>
        <w:t xml:space="preserve">10 многоквартирных домов по программе реновации</w:t>
      </w:r>
      <w:r>
        <w:t xml:space="preserve"> </w:t>
      </w:r>
      <w:r>
        <w:t xml:space="preserve">жилищного фонда столицы.</w:t>
      </w:r>
    </w:p>
    <w:p>
      <w:pPr>
        <w:pStyle w:val="BodyText"/>
      </w:pPr>
      <w:r>
        <w:t xml:space="preserve">За месяц учетно-регистрационные действия проведены в отношении объектов,</w:t>
      </w:r>
      <w:r>
        <w:t xml:space="preserve"> </w:t>
      </w:r>
      <w:r>
        <w:rPr>
          <w:u w:val="single"/>
        </w:rPr>
        <w:t xml:space="preserve">расположенных по адресам: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пр-д Чечёрский, д. 28, корп. 1</w:t>
      </w:r>
      <w:r>
        <w:t xml:space="preserve"> </w:t>
      </w:r>
      <w:r>
        <w:t xml:space="preserve">(Южное Бутово, ЮЗАО);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пр-д Чечёрский, д. 28, корп. 2</w:t>
      </w:r>
      <w:r>
        <w:t xml:space="preserve"> </w:t>
      </w:r>
      <w:r>
        <w:t xml:space="preserve">(Южное Бутово, ЮЗАО);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Бехтерева, д. 25 корп. 1</w:t>
      </w:r>
      <w:r>
        <w:t xml:space="preserve"> </w:t>
      </w:r>
      <w:r>
        <w:t xml:space="preserve">(Царицыно, ЮАО);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Бехтерева, д. 25 корп. 2</w:t>
      </w:r>
      <w:r>
        <w:t xml:space="preserve"> </w:t>
      </w:r>
      <w:r>
        <w:t xml:space="preserve">(Царицыно, ЮАО);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Годовикова, д. 11А</w:t>
      </w:r>
      <w:r>
        <w:t xml:space="preserve"> </w:t>
      </w:r>
      <w:r>
        <w:t xml:space="preserve">(Останкинский, СВАО);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Илимская, д. 5</w:t>
      </w:r>
      <w:r>
        <w:t xml:space="preserve"> </w:t>
      </w:r>
      <w:r>
        <w:t xml:space="preserve">(Лианозово, СВАО);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Заречная, д. 5</w:t>
      </w:r>
      <w:r>
        <w:t xml:space="preserve"> </w:t>
      </w:r>
      <w:r>
        <w:t xml:space="preserve">(Филёвский Парк, ЗАО);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Воейкова, д. 2</w:t>
      </w:r>
      <w:r>
        <w:t xml:space="preserve"> </w:t>
      </w:r>
      <w:r>
        <w:t xml:space="preserve">(Проспект Вернадского, ЗАО);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Оренбургская, д. 4</w:t>
      </w:r>
      <w:r>
        <w:t xml:space="preserve"> </w:t>
      </w:r>
      <w:r>
        <w:t xml:space="preserve">(Косино-Ухтомский, ВАО);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bCs/>
          <w:b/>
        </w:rPr>
        <w:t xml:space="preserve">ул. Артюхиной, д. 26А</w:t>
      </w:r>
      <w:r>
        <w:t xml:space="preserve"> </w:t>
      </w:r>
      <w:r>
        <w:t xml:space="preserve">(Текстильщики, ЮВАО).</w:t>
      </w:r>
    </w:p>
    <w:p>
      <w:pPr>
        <w:pStyle w:val="BodyText"/>
      </w:pPr>
      <w:r>
        <w:t xml:space="preserve">Общая площадь учтенных</w:t>
      </w:r>
      <w:r>
        <w:t xml:space="preserve"> </w:t>
      </w:r>
      <w:r>
        <w:rPr>
          <w:u w:val="single"/>
        </w:rPr>
        <w:t xml:space="preserve">в июне текущего года</w:t>
      </w:r>
      <w:r>
        <w:t xml:space="preserve"> </w:t>
      </w:r>
      <w:r>
        <w:t xml:space="preserve">многоквартирных домов по программе реновации составила</w:t>
      </w:r>
      <w:r>
        <w:t xml:space="preserve"> </w:t>
      </w:r>
      <w:r>
        <w:rPr>
          <w:bCs/>
          <w:b/>
        </w:rPr>
        <w:t xml:space="preserve">227 325,1 кв. м</w:t>
      </w:r>
      <w:r>
        <w:t xml:space="preserve">, где предусмотрено</w:t>
      </w:r>
      <w:r>
        <w:t xml:space="preserve"> </w:t>
      </w:r>
      <w:r>
        <w:rPr>
          <w:bCs/>
          <w:b/>
        </w:rPr>
        <w:t xml:space="preserve">2 272 квартиры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«За первое полугодие 2025 года в столице оформлено 47 многоквартирных домов по программе реновации. Общая площадь этих новостроек практически достигла почти 1,3 млн «квадратов», в том числе порядка 704,4 тыс. кв. м жилья, рассчитанного на 12 207 квартир»,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</w:p>
    <w:p>
      <w:pPr>
        <w:pStyle w:val="BodyText"/>
      </w:pPr>
      <w:r>
        <w:t xml:space="preserve">Наибольшее число поставленных на кадастровый учет домов по программе реновации с начала этого года пришлось на</w:t>
      </w:r>
      <w:r>
        <w:t xml:space="preserve"> </w:t>
      </w:r>
      <w:r>
        <w:rPr>
          <w:bCs/>
          <w:b/>
        </w:rPr>
        <w:t xml:space="preserve">ЮАО (9 МКД)</w:t>
      </w:r>
      <w:r>
        <w:t xml:space="preserve">. На втором месте по данному показателю</w:t>
      </w:r>
      <w:r>
        <w:t xml:space="preserve"> </w:t>
      </w:r>
      <w:r>
        <w:rPr>
          <w:bCs/>
          <w:b/>
        </w:rPr>
        <w:t xml:space="preserve">ВАО (8 МКД)</w:t>
      </w:r>
      <w:r>
        <w:t xml:space="preserve">. Первую тройку замыкает</w:t>
      </w:r>
      <w:r>
        <w:t xml:space="preserve"> </w:t>
      </w:r>
      <w:r>
        <w:rPr>
          <w:bCs/>
          <w:b/>
        </w:rPr>
        <w:t xml:space="preserve">ЮВАО (6 МКД)</w:t>
      </w:r>
      <w:r>
        <w:t xml:space="preserve">. На четвертом месте</w:t>
      </w:r>
      <w:r>
        <w:t xml:space="preserve"> </w:t>
      </w:r>
      <w:r>
        <w:rPr>
          <w:bCs/>
          <w:b/>
        </w:rPr>
        <w:t xml:space="preserve">САО, СВАО и ЮЗАО (по 5 МКД)</w:t>
      </w:r>
      <w:r>
        <w:t xml:space="preserve">. В первой пятерке оказались</w:t>
      </w:r>
      <w:r>
        <w:t xml:space="preserve"> </w:t>
      </w:r>
      <w:r>
        <w:rPr>
          <w:bCs/>
          <w:b/>
        </w:rPr>
        <w:t xml:space="preserve">СЗАО и ЗАО (по 3 МКД)</w:t>
      </w:r>
      <w:r>
        <w:t xml:space="preserve">. Также оформлено</w:t>
      </w:r>
      <w:r>
        <w:t xml:space="preserve"> </w:t>
      </w:r>
      <w:r>
        <w:rPr>
          <w:bCs/>
          <w:b/>
        </w:rPr>
        <w:t xml:space="preserve">2 МКД в ТиНАО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1 МКД в ЦАО</w:t>
      </w:r>
      <w:r>
        <w:t xml:space="preserve">.</w:t>
      </w:r>
    </w:p>
    <w:p>
      <w:pPr>
        <w:pStyle w:val="BodyText"/>
      </w:pPr>
      <w:r>
        <w:t xml:space="preserve">Ранее мэр Москвы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 </w:t>
      </w:r>
      <w:hyperlink r:id="rId20">
        <w:r>
          <w:rPr>
            <w:rStyle w:val="Hyperlink"/>
          </w:rPr>
          <w:t xml:space="preserve">сообщал</w:t>
        </w:r>
      </w:hyperlink>
      <w:r>
        <w:t xml:space="preserve">, что с января по июнь в столице завершили строительство свыше 20 жилых комплексов. Это в два раза больше, чем за аналогичный период прошлого года.</w:t>
      </w:r>
    </w:p>
    <w:p>
      <w:pPr>
        <w:pStyle w:val="BodyText"/>
      </w:pPr>
      <w:r>
        <w:t xml:space="preserve">Программу реновации утвердили в августе 2017 года. Она касается около миллиона москвичей и предусматривает расселение 5 176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http://strogino.mos.ru/presscenter/news/detail/13112461.html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112461.html" TargetMode="External" /><Relationship Type="http://schemas.openxmlformats.org/officeDocument/2006/relationships/hyperlink" Id="rId20" Target="https://www.mos.ru/mayor/themes/12998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3112461.html" TargetMode="External" /><Relationship Type="http://schemas.openxmlformats.org/officeDocument/2006/relationships/hyperlink" Id="rId20" Target="https://www.mos.ru/mayor/themes/12998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2025-07-27T19:01:08Z</dcterms:created>
  <dcterms:modified xsi:type="dcterms:W3CDTF">2025-07-27T19:01:08Z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