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cbb0df43c19bf7f6bd53726d22d02698da237"/>
    <w:p>
      <w:pPr>
        <w:pStyle w:val="Heading3"/>
      </w:pPr>
      <w:r>
        <w:t xml:space="preserve">О выборе формы получения набора социальных услуг гражданами, у которых есть право на ежемесячную денежную выплату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Заявления принимались территориальными органами ПФР с 1 октября прошлого года до 1 октября 2022-го в клиентских службах фонда, многофункциональных центрах, а также через личные кабинеты на портале госуслуг и сайте ПФР.</w:t>
      </w:r>
    </w:p>
    <w:p>
      <w:pPr>
        <w:pStyle w:val="BodyText"/>
      </w:pPr>
      <w:r>
        <w:t xml:space="preserve">Заявления направили граждане, у которых есть право на ежемесячную денежную выплату (ЕДВ). Это инвалиды, ветераны Великой Отечественной войны и боевых действий, те, кто пострадал от радиационного воздействия, а также другие категории.</w:t>
      </w:r>
    </w:p>
    <w:p>
      <w:pPr>
        <w:pStyle w:val="BodyText"/>
      </w:pPr>
      <w:r>
        <w:t xml:space="preserve">Несмотря на то, что большинство льготников предпочитают получать ЕДВ в полном объеме, среди поданных в этом году заявлений отмечена положительная динамика в пользу получения набора социальных услуг. Прежде всего, это относится к лекарственному обеспечению.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напоминает, что, по действующим правилам, набор включает в себя лекарства, медицинские изделия и продукты лечебного питания для детей-инвалидов. Помимо этого, в набор также входит путевка в санаторий и бесплатный проезд на пригородных электричках. «Указанные услуги можно получать в натуральной форме либо отказаться от их получения, увеличив тем самым размер ЕДВ» - отмечает она.</w:t>
      </w:r>
    </w:p>
    <w:p>
      <w:pPr>
        <w:pStyle w:val="BodyText"/>
      </w:pPr>
      <w:r>
        <w:t xml:space="preserve">С 1 февраля 2022 года полный денежный эквивалент соцуслуг составляет</w:t>
      </w:r>
      <w:r>
        <w:t xml:space="preserve"> </w:t>
      </w:r>
      <w:r>
        <w:rPr>
          <w:bCs/>
          <w:b/>
        </w:rPr>
        <w:t xml:space="preserve">1313,44 рубля.</w:t>
      </w:r>
      <w:r>
        <w:t xml:space="preserve"> </w:t>
      </w:r>
      <w:r>
        <w:t xml:space="preserve">Такая сумма выплачивается каждый месяц тем, кто полностью отказался от набора социальных услуг.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Форма предоставления услуг определяется льготниками ежегодно до 1 октября путем подачи заявления в Пенсионный фонд. Указанный в заявлении вариант начинает действовать</w:t>
      </w:r>
      <w:r>
        <w:t xml:space="preserve"> </w:t>
      </w:r>
      <w:r>
        <w:rPr>
          <w:iCs/>
          <w:i/>
        </w:rPr>
        <w:t xml:space="preserve">с января следующего года</w:t>
      </w:r>
      <w:r>
        <w:t xml:space="preserve">. Если раньше заявление уже подавалось, новое заявление не требуется, набор будет предоставляться в выбранной форме до тех пор, пока гражданин не поменяет решение.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Из всего количества поданных заявлений почти 5 млн. человек в следующем году сохранили для себя возможность частично или полностью получать набор в виде услуг, 9,3 млн. человек выбрали получение набора полностью деньгами. Большинство из тех, кто в этом году изменил решение относительно формы социальных услуг, сделали это онлайн – 68% заявлений граждан (485 тыс.) поступило в Пенсионный фонд в электронной 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http://strogino.mos.ru/presscenter/news/detail/11222966.html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222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222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2025-02-05T03:30:10Z</dcterms:created>
  <dcterms:modified xsi:type="dcterms:W3CDTF">2025-02-05T03:30:10Z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