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32526673fecd327894e850a2bbc4a77136e68"/>
    <w:p>
      <w:pPr>
        <w:pStyle w:val="Heading3"/>
      </w:pPr>
      <w:r>
        <w:t xml:space="preserve">Важно знать об услугах ПФР в электронной форме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t xml:space="preserve">Большинство заявлений о назначении пенсии поданы онлайн. При этом выплаты с согласия гражданина были назначены также дистанционно на основе данных из информационной системы Пенсионного фонда.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отмечает: «Через личный кабинет можно заказать электронные справки, чтобы направить их в другие организации. В личном кабинете гражданина доступна информация о пенсионных коэффициентах, стаже и отчислениях на индивидуальный лицевой счёт, которые поступили от работодателей».</w:t>
      </w:r>
    </w:p>
    <w:p>
      <w:pPr>
        <w:pStyle w:val="BodyText"/>
      </w:pPr>
      <w:r>
        <w:t xml:space="preserve">Для семей, получивших сертификат на материнский капитал в личном кабинете всегда доступна актуальная информация о сумме, которую можно использовать на выбранные цели. Практически все владельцы сертификата проверяют эти данные онлайн, не обращаясь в клиентские службы территориального органа ПФР. 78 % семей таким же способом подают заявление о распоряжении материнским капиталом.</w:t>
      </w:r>
    </w:p>
    <w:p>
      <w:pPr>
        <w:pStyle w:val="BodyText"/>
      </w:pPr>
      <w:r>
        <w:t xml:space="preserve">Помимо этого, в личном кабинете есть возможность оформить выплаты по уходу за нетрудоспособными людьми и электронные заявления на оформление выплаты по уходу за детьми-инвалидами и инвалидами с детства первой группы.</w:t>
      </w:r>
    </w:p>
    <w:p>
      <w:pPr>
        <w:pStyle w:val="BodyText"/>
      </w:pPr>
      <w:r>
        <w:t xml:space="preserve">Личный кабинет открывает возможность быстрого и удобного обращения в ПФР без очередей и ожидания. Для полного доступа к услугам необходима подтвержденная учетная запись на портале Госуслуг.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http://strogino.mos.ru/presscenter/news/detail/10953367.html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53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53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2025-05-11T02:32:06Z</dcterms:created>
  <dcterms:modified xsi:type="dcterms:W3CDTF">2025-05-11T02:32:06Z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