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b6f0c23a4f456b5097fcd0d61f17c35a16005"/>
    <w:p>
      <w:pPr>
        <w:pStyle w:val="Heading3"/>
      </w:pPr>
      <w:r>
        <w:t xml:space="preserve">ГУ-Главное управление ПФР №9 по г.Москве и Московской области напоминает коротко о видах пенсий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t xml:space="preserve">Страховые пенсии зависят от стажа и заработной платы гражданина, с которой уплачиваются страховые взносы, поэтому рассчитываются всегда индивидуально.</w:t>
      </w:r>
    </w:p>
    <w:p>
      <w:pPr>
        <w:pStyle w:val="BodyText"/>
      </w:pPr>
      <w:r>
        <w:t xml:space="preserve">Есть три вида страховыхпенсий – по старости, по инвалидности и по случаю потери кормильца.</w:t>
      </w:r>
    </w:p>
    <w:p>
      <w:pPr>
        <w:pStyle w:val="BodyText"/>
      </w:pPr>
      <w:r>
        <w:t xml:space="preserve">Пенсии по государственному пенсионному обеспечению осуществляются в пяти видах и выплачиваются в фиксированном размере тем, кто по каким-то причинам не имеет необходимого трудового стажа и пенсионных коэффициентов от отчисления страховых взносов.</w:t>
      </w:r>
    </w:p>
    <w:p>
      <w:pPr>
        <w:pStyle w:val="BodyText"/>
      </w:pPr>
      <w:r>
        <w:t xml:space="preserve">Большая часть пенсионеров в регионе - это получатели страховых пенсий по старости. Ежегодно все виды пенсий проактивно индексируются.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Помимо пенсий, ПФР устанавливает гражданам различные социальные выплаты - компенсационные, ежемесячные, единовременные и дополнительные. Например, выплаты по уходу за ребенком-инвалидом, по уходу за нетрудоспособными гражданами, причем, фиксированные суммы этих выплат различаются в зависимости от категории гражданина, за которым осуществляется уход. Законодательством предусмотрены также дополнительное материальное обеспечение сотрудникам ядерного оружейного комплекса, доплаты летчикам-испытателям, работникам угольной профессии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http://strogino.mos.ru/presscenter/news/detail/10952904.html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52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52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2025-06-21T18:45:01Z</dcterms:created>
  <dcterms:modified xsi:type="dcterms:W3CDTF">2025-06-21T18:45:01Z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