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62fb06e8fd4921f88861bca07546bd8bf3d576"/>
    <w:p>
      <w:pPr>
        <w:pStyle w:val="Heading3"/>
      </w:pPr>
      <w:r>
        <w:t xml:space="preserve">Рафик Загрутдинов: 200 тысяч квадратных метров ввели с начала года по программе реновации</w:t>
      </w:r>
    </w:p>
    <w:p>
      <w:pPr>
        <w:pStyle w:val="FirstParagraph"/>
      </w:pPr>
      <w:r>
        <w:t xml:space="preserve">08.07.2022</w:t>
      </w:r>
    </w:p>
    <w:p>
      <w:pPr>
        <w:pStyle w:val="BodyText"/>
      </w:pPr>
      <w:r>
        <w:rPr>
          <w:bCs/>
          <w:b/>
        </w:rPr>
        <w:t xml:space="preserve">«С начала года мы уже ввели 17 жилых домов – более 3000 квартир. Всего в этом году по программе реновации мы планируем ввести 1,2 млн квадратных метров, это более 20 тыс. квартир»,</w:t>
      </w:r>
      <w:r>
        <w:t xml:space="preserve"> </w:t>
      </w:r>
      <w:r>
        <w:t xml:space="preserve">- сообщил руководитель Департамента строительства Москвы Рафик Загрутдинов на пресс-конференции в Информационном центре Правительства Москвы.</w:t>
      </w:r>
    </w:p>
    <w:p>
      <w:pPr>
        <w:pStyle w:val="BodyText"/>
      </w:pPr>
      <w:r>
        <w:t xml:space="preserve">Он также отметил, что всего в этом году планируется передать под заселение 71 «стартовый» жилой дом. Больше всего домов планируется передать в ЮЗАО (12 домов), ЮВАО (11 домов), САО (10 домов). В этом году ключи от новых квартир получат порядка 37 тысяч человек.</w:t>
      </w:r>
    </w:p>
    <w:p>
      <w:pPr>
        <w:pStyle w:val="BodyText"/>
      </w:pPr>
      <w:r>
        <w:t xml:space="preserve">С начала года ключи от новых квартир получили около 20 тыс. жителей.</w:t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http://strogino.mos.ru/presscenter/news/detail/10921259.html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09212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09212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2023-10-21T01:31:34Z</dcterms:created>
  <dcterms:modified xsi:type="dcterms:W3CDTF">2023-10-21T01:31:34Z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