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6087484d319dab7cf1551f979b5f20eaec6a2"/>
    <w:p>
      <w:pPr>
        <w:pStyle w:val="Heading3"/>
      </w:pPr>
      <w:r>
        <w:t xml:space="preserve">Основные новеллы в Методических рекомендациях по вопросам представления сведений о доходах в 2021 году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Основные новеллы в Методических рекомендациях по вопросам представления сведений о доходах в 2021 году.docx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http://strogino.mos.ru/anti-corruption-new/methodical-materials/detail/9648041.html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f9f/osnovnye-novelly-v-metodicheskikh-rekomendatsiyakh-po-voprosam-predstavleniya-svedeniy-o-dokhodakh-v-2021-godu.docx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96480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f9f/osnovnye-novelly-v-metodicheskikh-rekomendatsiyakh-po-voprosam-predstavleniya-svedeniy-o-dokhodakh-v-2021-godu.docx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anti-corruption-new/methodical-materials/detail/96480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2024-12-27T07:03:17Z</dcterms:created>
  <dcterms:modified xsi:type="dcterms:W3CDTF">2024-12-27T07:03:17Z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