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c24f22001d622780d73a871ba2f473bf7f893"/>
    <w:p>
      <w:pPr>
        <w:pStyle w:val="Heading3"/>
      </w:pPr>
      <w:r>
        <w:t xml:space="preserve">Положение о системе внутреннего обеспечения соответствия требованиям антимонопольного законодательства в управе района Строгино города Москвы</w:t>
      </w:r>
    </w:p>
    <w:p>
      <w:pPr>
        <w:pStyle w:val="FirstParagraph"/>
      </w:pPr>
      <w:r>
        <w:t xml:space="preserve">02.04.2019</w:t>
      </w:r>
    </w:p>
    <w:p>
      <w:pPr>
        <w:pStyle w:val="BodyText"/>
      </w:pPr>
      <w:hyperlink r:id="rId20">
        <w:r>
          <w:rPr>
            <w:rStyle w:val="Hyperlink"/>
          </w:rPr>
          <w:t xml:space="preserve">Положение о системе внутреннего обеспечения соответствия требованиям антимонопольного законодательства в управе района Строгино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http://strogino.mos.ru/anti-corruption-new/methodical-materials/detail/7991267.html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a9/ob-utverzhdenii-polozheniya-o-sisteme-vnutrennego-obespecheniya-sootvetstviya-trebovaniyam-antimonopolnogo-zakonodatelstva-v-uprave-rayona-strogino-goroda-moskvy-i-naznachenii-otvetstvennogo-dolzhn_stranitsy_2_9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methodical-materials/detail/7991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a9/ob-utverzhdenii-polozheniya-o-sisteme-vnutrennego-obespecheniya-sootvetstviya-trebovaniyam-antimonopolnogo-zakonodatelstva-v-uprave-rayona-strogino-goroda-moskvy-i-naznachenii-otvetstvennogo-dolzhn_stranitsy_2_9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methodical-materials/detail/7991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2023-09-20T10:15:36Z</dcterms:created>
  <dcterms:modified xsi:type="dcterms:W3CDTF">2023-09-20T10:15:36Z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