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6cf89bf2f2dce161f649deb55b9bfb5dfe9e2b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</w:t>
      </w:r>
    </w:p>
    <w:p>
      <w:pPr>
        <w:pStyle w:val="FirstParagraph"/>
      </w:pPr>
      <w:r>
        <w:t xml:space="preserve">12.02.2019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СВЕДЕНИЯ О ДОХОДАХ, РАСХОДАХ, ОБ ИМУЩЕСТВЕ И ОБЯЗАТЕЛЬСТВАХ ИМУЩЕСТВЕННОГО ХАРАКТЕРА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http://strogino.mos.ru/anti-corruption-new/methodical-materials/detail/7881027.html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anti-corruption-new/methodical-materials/detail/7881027.html" TargetMode="External" /><Relationship Type="http://schemas.openxmlformats.org/officeDocument/2006/relationships/hyperlink" Id="rId20" Target="https://altufievo.mos.ru/sved_2017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anti-corruption-new/methodical-materials/detail/7881027.html" TargetMode="External" /><Relationship Type="http://schemas.openxmlformats.org/officeDocument/2006/relationships/hyperlink" Id="rId20" Target="https://altufievo.mos.ru/sved_2017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2024-12-23T13:30:23Z</dcterms:created>
  <dcterms:modified xsi:type="dcterms:W3CDTF">2024-12-23T13:30:23Z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