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иводействие-коррупции-в-спорте"/>
    <w:p>
      <w:pPr>
        <w:pStyle w:val="Heading3"/>
      </w:pPr>
      <w:r>
        <w:t xml:space="preserve">ПРОТИВОДЕЙСТВИЕ КОРРУПЦИИ В СПОРТЕ</w:t>
      </w:r>
    </w:p>
    <w:p>
      <w:pPr>
        <w:pStyle w:val="FirstParagraph"/>
      </w:pPr>
      <w:r>
        <w:t xml:space="preserve">12.02.2019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ПРОТИВОДЕЙСТВИЕ КОРРУПЦИИ В СПОРТЕ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http://strogino.mos.ru/anti-corruption-new/methodical-materials/detail/7880992.html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0992.html" TargetMode="External" /><Relationship Type="http://schemas.openxmlformats.org/officeDocument/2006/relationships/hyperlink" Id="rId20" Target="https://altufievo.mos.ru/corruption_sport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7880992.html" TargetMode="External" /><Relationship Type="http://schemas.openxmlformats.org/officeDocument/2006/relationships/hyperlink" Id="rId20" Target="https://altufievo.mos.ru/corruption_sport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2023-07-13T01:28:14Z</dcterms:created>
  <dcterms:modified xsi:type="dcterms:W3CDTF">2023-07-13T01:28:14Z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